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6"/>
        <w:spacing w:line="306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Приложение</w:t>
      </w:r>
      <w:r>
        <w:rPr>
          <w:spacing w:val="3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l</w:t>
      </w:r>
      <w:r>
        <w:rPr>
          <w:sz w:val="28"/>
          <w:szCs w:val="28"/>
        </w:rPr>
      </w:r>
    </w:p>
    <w:p>
      <w:pPr>
        <w:pStyle w:val="686"/>
        <w:ind w:left="9781" w:hanging="9781"/>
        <w:spacing w:after="0" w:line="305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к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постановлению администрации муниципального образования Лен</w:t>
      </w:r>
      <w:r>
        <w:rPr>
          <w:sz w:val="28"/>
          <w:szCs w:val="28"/>
        </w:rPr>
        <w:t xml:space="preserve">инградский муниципальный округ К</w:t>
      </w:r>
      <w:r>
        <w:rPr>
          <w:sz w:val="28"/>
          <w:szCs w:val="28"/>
        </w:rPr>
        <w:t xml:space="preserve">раснодарского края  </w:t>
      </w:r>
      <w:r>
        <w:rPr>
          <w:sz w:val="28"/>
          <w:szCs w:val="28"/>
        </w:rPr>
      </w:r>
    </w:p>
    <w:p>
      <w:pPr>
        <w:pStyle w:val="686"/>
        <w:ind w:left="9781" w:hanging="9781"/>
        <w:spacing w:after="0" w:line="305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от 19.06.2026 </w:t>
      </w:r>
      <w:r>
        <w:rPr>
          <w:sz w:val="28"/>
          <w:szCs w:val="28"/>
        </w:rPr>
        <w:t xml:space="preserve"> № 647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>
        <w:rPr>
          <w:sz w:val="28"/>
          <w:szCs w:val="28"/>
        </w:rPr>
      </w:r>
    </w:p>
    <w:p>
      <w:pPr>
        <w:pStyle w:val="686"/>
        <w:spacing w:line="306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6"/>
        <w:spacing w:line="306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«</w:t>
      </w:r>
      <w:r>
        <w:rPr>
          <w:sz w:val="28"/>
          <w:szCs w:val="28"/>
        </w:rPr>
        <w:t xml:space="preserve">Приложение</w:t>
      </w:r>
      <w:r>
        <w:rPr>
          <w:spacing w:val="3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l</w:t>
      </w:r>
      <w:r>
        <w:rPr>
          <w:sz w:val="28"/>
          <w:szCs w:val="28"/>
        </w:rPr>
      </w:r>
    </w:p>
    <w:p>
      <w:pPr>
        <w:pStyle w:val="686"/>
        <w:spacing w:after="0" w:line="305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к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</w:t>
      </w:r>
      <w:r>
        <w:rPr>
          <w:spacing w:val="4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программе</w:t>
      </w:r>
      <w:r>
        <w:rPr>
          <w:sz w:val="28"/>
          <w:szCs w:val="28"/>
        </w:rPr>
      </w:r>
    </w:p>
    <w:p>
      <w:pPr>
        <w:pStyle w:val="686"/>
        <w:ind w:left="9762" w:right="806" w:firstLine="6"/>
        <w:spacing w:before="1" w:line="237" w:lineRule="auto"/>
        <w:rPr>
          <w:sz w:val="28"/>
          <w:szCs w:val="28"/>
        </w:rPr>
      </w:pPr>
      <w:r>
        <w:rPr>
          <w:sz w:val="28"/>
          <w:szCs w:val="28"/>
        </w:rPr>
        <w:t xml:space="preserve">«Развитие пассажирских перевозом автомобильным транспортом по муниципальным маршрутам в границах муниципального образования Ленинградский муниципальный округ Краснодарского края»</w:t>
      </w:r>
      <w:r>
        <w:rPr>
          <w:sz w:val="28"/>
          <w:szCs w:val="28"/>
        </w:rPr>
      </w:r>
    </w:p>
    <w:p>
      <w:pPr>
        <w:pStyle w:val="686"/>
        <w:ind w:left="9762" w:right="806" w:firstLine="6"/>
        <w:spacing w:before="1" w:line="237" w:lineRule="auto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caps/>
          <w:sz w:val="28"/>
          <w:szCs w:val="28"/>
          <w:lang w:eastAsia="ru-RU"/>
        </w:rPr>
      </w:r>
      <w:r>
        <w:rPr>
          <w:b/>
          <w:bCs/>
          <w:caps/>
          <w:sz w:val="28"/>
          <w:szCs w:val="28"/>
          <w:lang w:eastAsia="ru-RU"/>
        </w:rPr>
      </w:r>
    </w:p>
    <w:p>
      <w:pPr>
        <w:numPr>
          <w:ilvl w:val="0"/>
          <w:numId w:val="1"/>
        </w:numPr>
        <w:jc w:val="center"/>
        <w:widowControl w:val="off"/>
        <w:rPr>
          <w:sz w:val="28"/>
          <w:szCs w:val="28"/>
        </w:rPr>
      </w:pPr>
      <w:r>
        <w:rPr>
          <w:b/>
          <w:bCs/>
          <w:caps/>
          <w:sz w:val="28"/>
          <w:szCs w:val="28"/>
          <w:lang w:eastAsia="ru-RU"/>
        </w:rPr>
        <w:t xml:space="preserve">ПЕРЕЧЕНЬ основных мероприятий муниципальной программы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пассажирских перевозок автомобильным транспортом по муниципальным маршрутам в границах муниципального образования Ленинградский муниципальный округ Краснодарского края</w:t>
      </w:r>
      <w:r>
        <w:rPr>
          <w:sz w:val="28"/>
          <w:szCs w:val="28"/>
        </w:rPr>
      </w:r>
    </w:p>
    <w:p>
      <w:r/>
      <w:r/>
    </w:p>
    <w:tbl>
      <w:tblPr>
        <w:tblW w:w="146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2976"/>
        <w:gridCol w:w="994"/>
        <w:gridCol w:w="1133"/>
        <w:gridCol w:w="1021"/>
        <w:gridCol w:w="955"/>
        <w:gridCol w:w="1188"/>
        <w:gridCol w:w="70"/>
        <w:gridCol w:w="1162"/>
        <w:gridCol w:w="2254"/>
        <w:gridCol w:w="2395"/>
      </w:tblGrid>
      <w:tr>
        <w:tblPrEx/>
        <w:trPr/>
        <w:tc>
          <w:tcPr>
            <w:shd w:val="clear" w:color="auto" w:fill="auto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ind w:left="-142" w:right="-135"/>
              <w:jc w:val="center"/>
            </w:pPr>
            <w:r>
              <w:t xml:space="preserve">№ п/п</w:t>
            </w:r>
            <w:r/>
          </w:p>
        </w:tc>
        <w:tc>
          <w:tcPr>
            <w:shd w:val="clear" w:color="auto" w:fill="auto"/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мероприятия</w:t>
            </w:r>
            <w:r/>
          </w:p>
        </w:tc>
        <w:tc>
          <w:tcPr>
            <w:shd w:val="clear" w:color="auto" w:fill="auto"/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ind w:left="-170" w:right="-189"/>
              <w:jc w:val="center"/>
            </w:pPr>
            <w:r>
              <w:t xml:space="preserve">Год</w:t>
            </w:r>
            <w:r/>
          </w:p>
          <w:p>
            <w:pPr>
              <w:ind w:left="-170" w:right="-189"/>
              <w:jc w:val="center"/>
            </w:pPr>
            <w:r>
              <w:t xml:space="preserve">реали</w:t>
            </w:r>
            <w:r>
              <w:t xml:space="preserve">-</w:t>
            </w:r>
            <w:r/>
          </w:p>
          <w:p>
            <w:pPr>
              <w:ind w:left="-170" w:right="-189"/>
              <w:jc w:val="center"/>
            </w:pPr>
            <w:r>
              <w:t xml:space="preserve">зации</w:t>
            </w:r>
            <w:r/>
          </w:p>
        </w:tc>
        <w:tc>
          <w:tcPr>
            <w:gridSpan w:val="6"/>
            <w:shd w:val="clear" w:color="auto" w:fill="auto"/>
            <w:tcW w:w="552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Объём финансирования, тыс. рублей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Непосредственный результат реализации мероприятия</w:t>
            </w:r>
            <w:r/>
          </w:p>
        </w:tc>
        <w:tc>
          <w:tcPr>
            <w:shd w:val="clear" w:color="auto" w:fill="auto"/>
            <w:tcW w:w="23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Муниципальный заказчик, главный распорядитель (распорядитель) бюджетных средств, исполнитель</w:t>
            </w:r>
            <w:r/>
          </w:p>
        </w:tc>
      </w:tr>
      <w:tr>
        <w:tblPrEx/>
        <w:trPr>
          <w:trHeight w:val="254"/>
        </w:trPr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всего</w:t>
            </w:r>
            <w:r/>
          </w:p>
        </w:tc>
        <w:tc>
          <w:tcPr>
            <w:gridSpan w:val="5"/>
            <w:shd w:val="clear" w:color="auto" w:fill="auto"/>
            <w:tcW w:w="439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 разрезе источников финансирования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cantSplit/>
          <w:trHeight w:val="1134"/>
        </w:trPr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13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021" w:type="dxa"/>
            <w:vAlign w:val="center"/>
            <w:textDirection w:val="btLr"/>
            <w:noWrap w:val="false"/>
          </w:tcPr>
          <w:p>
            <w:pPr>
              <w:ind w:right="32"/>
              <w:jc w:val="center"/>
            </w:pPr>
            <w:r>
              <w:t xml:space="preserve">Федеральный бюджет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btLr"/>
            <w:noWrap w:val="false"/>
          </w:tcPr>
          <w:p>
            <w:pPr>
              <w:ind w:right="32"/>
              <w:jc w:val="center"/>
            </w:pPr>
            <w:r>
              <w:t xml:space="preserve">Краевой бюджет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btLr"/>
            <w:noWrap w:val="false"/>
          </w:tcPr>
          <w:p>
            <w:pPr>
              <w:ind w:right="32"/>
              <w:jc w:val="center"/>
            </w:pPr>
            <w:r>
              <w:t xml:space="preserve">Местный бюджет</w:t>
            </w:r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btLr"/>
            <w:noWrap w:val="false"/>
          </w:tcPr>
          <w:p>
            <w:pPr>
              <w:ind w:right="32"/>
              <w:jc w:val="center"/>
            </w:pPr>
            <w:r>
              <w:t xml:space="preserve">Внебюджетные источники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  <w:tc>
          <w:tcPr>
            <w:shd w:val="clear" w:color="auto" w:fill="auto"/>
            <w:tcW w:w="225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</w:t>
            </w:r>
            <w:r/>
          </w:p>
        </w:tc>
        <w:tc>
          <w:tcPr>
            <w:shd w:val="clear" w:color="auto" w:fill="auto"/>
            <w:tcW w:w="23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</w:tr>
      <w:tr>
        <w:tblPrEx/>
        <w:trPr/>
        <w:tc>
          <w:tcPr>
            <w:gridSpan w:val="11"/>
            <w:shd w:val="clear" w:color="auto" w:fill="auto"/>
            <w:tcW w:w="14682" w:type="dxa"/>
            <w:vAlign w:val="center"/>
            <w:textDirection w:val="lrTb"/>
            <w:noWrap w:val="false"/>
          </w:tcPr>
          <w:p>
            <w:pPr>
              <w:pStyle w:val="685"/>
            </w:pPr>
            <w:r>
              <w:t xml:space="preserve">П</w:t>
            </w:r>
            <w:r>
              <w:t xml:space="preserve">овышение доступности транспортных средств для жителей Ленинградск</w:t>
            </w:r>
            <w:r>
              <w:t xml:space="preserve">ого муниципального округа,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</w:t>
            </w:r>
            <w:r/>
          </w:p>
        </w:tc>
      </w:tr>
      <w:tr>
        <w:tblPrEx/>
        <w:trPr/>
        <w:tc>
          <w:tcPr>
            <w:gridSpan w:val="11"/>
            <w:shd w:val="clear" w:color="auto" w:fill="auto"/>
            <w:tcW w:w="14682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Удовлетворение потребностей населения в пассажирских перевозках транспортном общего пользования по муниципальным маршрутам регулярных перевозок</w:t>
            </w:r>
            <w:r>
              <w:rPr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1.1</w:t>
            </w:r>
            <w:r/>
          </w:p>
        </w:tc>
        <w:tc>
          <w:tcPr>
            <w:shd w:val="clear" w:color="auto" w:fill="auto"/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Изучение потребностей населения в транспортных услугах, развитие транспортных услуг</w:t>
            </w:r>
            <w:r/>
          </w:p>
        </w:tc>
        <w:tc>
          <w:tcPr>
            <w:gridSpan w:val="7"/>
            <w:shd w:val="clear" w:color="auto" w:fill="auto"/>
            <w:tcW w:w="6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Средства, предусмотренные на финансирование основной деятельности исполнителей мероприятия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Выявление общественного мнения о перевозчиках пассажирского автомобильного транспорта по результатам мониторинга, выявление необходимых и нецелесообразных рейсов</w:t>
            </w:r>
            <w:r/>
          </w:p>
        </w:tc>
        <w:tc>
          <w:tcPr>
            <w:shd w:val="clear" w:color="auto" w:fill="auto"/>
            <w:tcW w:w="23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Администрация Ленинградского муниципального округа</w:t>
            </w:r>
            <w:r>
              <w:t xml:space="preserve"> (далее - администрация);</w:t>
            </w:r>
            <w:r/>
          </w:p>
          <w:p>
            <w:pPr>
              <w:jc w:val="center"/>
            </w:pPr>
            <w:r>
              <w:t xml:space="preserve">управление</w:t>
            </w:r>
            <w:r>
              <w:t xml:space="preserve"> строительства, </w:t>
            </w:r>
            <w:r>
              <w:t xml:space="preserve">содержания и развития улично-дорожной сети</w:t>
            </w:r>
            <w:r>
              <w:t xml:space="preserve"> (далее – </w:t>
            </w:r>
            <w:r>
              <w:t xml:space="preserve">управление</w:t>
            </w:r>
            <w:r>
              <w:t xml:space="preserve">)</w:t>
            </w:r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1.2</w:t>
            </w:r>
            <w:r/>
          </w:p>
        </w:tc>
        <w:tc>
          <w:tcPr>
            <w:shd w:val="clear" w:color="auto" w:fill="auto"/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Подготовка предложений и замечаний к проектам муниципальных нормативно - правовых актов в части, касающейся развития пассажирского автомобильного транспорта</w:t>
            </w:r>
            <w:r/>
          </w:p>
        </w:tc>
        <w:tc>
          <w:tcPr>
            <w:gridSpan w:val="7"/>
            <w:shd w:val="clear" w:color="auto" w:fill="auto"/>
            <w:tcW w:w="6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Средства, предусмотренные на финансирование основной деятельности исполнителей мероприятия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1.3</w:t>
            </w:r>
            <w:r/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ind w:left="-114" w:right="-76"/>
              <w:jc w:val="center"/>
            </w:pPr>
            <w:r>
              <w:t xml:space="preserve">Решение вопросов по сохранению и дальнейшему развитию </w:t>
            </w:r>
            <w:r>
              <w:t xml:space="preserve">социально значимых </w:t>
            </w:r>
            <w:r>
              <w:t xml:space="preserve">регулярных автобусных маршрутов</w:t>
            </w:r>
            <w:r/>
          </w:p>
        </w:tc>
        <w:tc>
          <w:tcPr>
            <w:gridSpan w:val="7"/>
            <w:shd w:val="clear" w:color="auto" w:fill="auto"/>
            <w:tcW w:w="6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Средства, предусмотренные на финансирование основной деятельности исполнителей мероприятия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3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5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6</w:t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12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7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16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8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225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9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239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</w:t>
            </w:r>
            <w:r>
              <w:rPr>
                <w:bCs/>
              </w:rPr>
            </w:r>
          </w:p>
        </w:tc>
      </w:tr>
      <w:tr>
        <w:tblPrEx/>
        <w:trPr/>
        <w:tc>
          <w:tcPr>
            <w:gridSpan w:val="11"/>
            <w:shd w:val="clear" w:color="auto" w:fill="auto"/>
            <w:tcW w:w="14682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 Создание условий для деятельности перевозчиков, осуществляющих перевозки на территории </w:t>
            </w:r>
            <w:r>
              <w:rPr>
                <w:bCs/>
              </w:rPr>
              <w:t xml:space="preserve">Ленинградского муниципального о</w:t>
            </w:r>
            <w:r>
              <w:rPr>
                <w:bCs/>
              </w:rPr>
              <w:t xml:space="preserve">к</w:t>
            </w:r>
            <w:r>
              <w:rPr>
                <w:bCs/>
              </w:rPr>
              <w:t xml:space="preserve">руга</w:t>
            </w:r>
            <w:r>
              <w:rPr>
                <w:bCs/>
              </w:rPr>
            </w:r>
          </w:p>
        </w:tc>
      </w:tr>
      <w:tr>
        <w:tblPrEx/>
        <w:trPr>
          <w:trHeight w:val="1694"/>
        </w:trPr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2.1</w:t>
            </w:r>
            <w:r/>
          </w:p>
        </w:tc>
        <w:tc>
          <w:tcPr>
            <w:shd w:val="clear" w:color="auto" w:fill="auto"/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Рассмотрение возможности открытия новых маршрутов в целях повышения уровня доступности населения </w:t>
            </w:r>
            <w:r>
              <w:t xml:space="preserve">Ленинградского муниципального округа</w:t>
            </w:r>
            <w:r>
              <w:t xml:space="preserve"> к транспортным услугам</w:t>
            </w:r>
            <w:r/>
          </w:p>
        </w:tc>
        <w:tc>
          <w:tcPr>
            <w:gridSpan w:val="7"/>
            <w:shd w:val="clear" w:color="auto" w:fill="auto"/>
            <w:tcW w:w="6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Средства, предусмотренные на финансирование основной деятельности исполнителей мероприятия</w:t>
            </w:r>
            <w:r>
              <w:t xml:space="preserve">, тыс. руб.</w:t>
            </w:r>
            <w:r/>
          </w:p>
        </w:tc>
        <w:tc>
          <w:tcPr>
            <w:shd w:val="clear" w:color="auto" w:fill="auto"/>
            <w:tcW w:w="2254" w:type="dxa"/>
            <w:textDirection w:val="lrTb"/>
            <w:noWrap w:val="false"/>
          </w:tcPr>
          <w:p>
            <w:pPr>
              <w:jc w:val="center"/>
            </w:pPr>
            <w:r>
              <w:t xml:space="preserve">Мониторинг действующей сети маршрутов</w:t>
            </w:r>
            <w:r/>
          </w:p>
        </w:tc>
        <w:tc>
          <w:tcPr>
            <w:shd w:val="clear" w:color="auto" w:fill="auto"/>
            <w:tcW w:w="2395" w:type="dxa"/>
            <w:textDirection w:val="lrTb"/>
            <w:noWrap w:val="false"/>
          </w:tcPr>
          <w:p>
            <w:pPr>
              <w:jc w:val="center"/>
            </w:pPr>
            <w:r>
              <w:t xml:space="preserve">Управление </w:t>
            </w:r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2.3</w:t>
            </w:r>
            <w:r/>
          </w:p>
        </w:tc>
        <w:tc>
          <w:tcPr>
            <w:shd w:val="clear" w:color="auto" w:fill="auto"/>
            <w:tcW w:w="297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Плата за выполнение </w:t>
            </w:r>
            <w:r>
              <w:t xml:space="preserve">услуг</w:t>
            </w:r>
            <w:r>
              <w:t xml:space="preserve">, связанных с </w:t>
            </w:r>
            <w:r>
              <w:t xml:space="preserve">осуществлением регулярных пассажирских перевозок по регулируемым тарифам по муниципальным маршрутам на территории </w:t>
            </w:r>
            <w:r>
              <w:t xml:space="preserve">Ленинградского муниципального округа</w:t>
            </w:r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>
              <w:t xml:space="preserve">26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left="-132" w:right="-141"/>
              <w:jc w:val="center"/>
            </w:pPr>
            <w:r>
              <w:t xml:space="preserve">32920</w:t>
            </w:r>
            <w:r>
              <w:t xml:space="preserve">,0</w:t>
            </w:r>
            <w:r/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r>
              <w:t xml:space="preserve">32920</w:t>
            </w:r>
            <w:r>
              <w:t xml:space="preserve">,0</w:t>
            </w:r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restart"/>
            <w:textDirection w:val="lrTb"/>
            <w:noWrap w:val="false"/>
          </w:tcPr>
          <w:p>
            <w:pPr>
              <w:ind w:left="-135" w:right="-93"/>
              <w:jc w:val="center"/>
            </w:pPr>
            <w:r>
              <w:t xml:space="preserve">Выполнение перевозчиками </w:t>
            </w:r>
            <w:r>
              <w:t xml:space="preserve">планового количества </w:t>
            </w:r>
            <w:r>
              <w:t xml:space="preserve">километров</w:t>
            </w:r>
            <w:r>
              <w:t xml:space="preserve"> по муниципальным маршрутам</w:t>
            </w:r>
            <w:r/>
          </w:p>
        </w:tc>
        <w:tc>
          <w:tcPr>
            <w:shd w:val="clear" w:color="auto" w:fill="auto"/>
            <w:tcW w:w="2395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Администрация</w:t>
            </w:r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>
              <w:t xml:space="preserve">27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left="-132" w:right="-141"/>
              <w:jc w:val="center"/>
            </w:pPr>
            <w:r>
              <w:t xml:space="preserve">33</w:t>
            </w:r>
            <w:r>
              <w:t xml:space="preserve">000,0</w:t>
            </w:r>
            <w:r/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r>
              <w:t xml:space="preserve">33</w:t>
            </w:r>
            <w:r>
              <w:t xml:space="preserve">000,0</w:t>
            </w:r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>
              <w:t xml:space="preserve">28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left="-132" w:right="-141"/>
              <w:jc w:val="center"/>
            </w:pPr>
            <w:r/>
            <w:r/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>
              <w:t xml:space="preserve">29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left="-132" w:right="-141"/>
              <w:jc w:val="center"/>
            </w:pPr>
            <w:r/>
            <w:r/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>
              <w:t xml:space="preserve">30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left="-132" w:right="-141"/>
              <w:jc w:val="center"/>
            </w:pPr>
            <w:r/>
            <w:r/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132" w:right="-14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  <w:t xml:space="preserve">5920</w:t>
            </w:r>
            <w:r>
              <w:rPr>
                <w:b/>
                <w:bCs/>
              </w:rPr>
              <w:t xml:space="preserve">,0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  <w:t xml:space="preserve">5920</w:t>
            </w:r>
            <w:r>
              <w:rPr>
                <w:b/>
                <w:bCs/>
              </w:rPr>
              <w:t xml:space="preserve">,0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1655"/>
        </w:trPr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2.4</w:t>
            </w:r>
            <w:r/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Контроль за соблюдением условий муниципального контракта перево</w:t>
            </w:r>
            <w:r>
              <w:t xml:space="preserve">зчиком на пригородных маршрутах, </w:t>
            </w:r>
            <w:r>
              <w:t xml:space="preserve">пассажирских перевозок по маршрутам регулярных перевозок на городских маршрутах на основании выданных свидетельств </w:t>
            </w:r>
            <w:r/>
          </w:p>
        </w:tc>
        <w:tc>
          <w:tcPr>
            <w:gridSpan w:val="7"/>
            <w:shd w:val="clear" w:color="auto" w:fill="auto"/>
            <w:tcW w:w="6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Использование бюджетных средств не предусмотрено</w:t>
            </w:r>
            <w:r/>
          </w:p>
        </w:tc>
        <w:tc>
          <w:tcPr>
            <w:shd w:val="clear" w:color="auto" w:fill="auto"/>
            <w:tcW w:w="2254" w:type="dxa"/>
            <w:vAlign w:val="center"/>
            <w:textDirection w:val="lrTb"/>
            <w:noWrap w:val="false"/>
          </w:tcPr>
          <w:p>
            <w:pPr>
              <w:ind w:left="-135" w:right="-93"/>
              <w:jc w:val="center"/>
              <w:rPr>
                <w:highlight w:val="yellow"/>
              </w:rPr>
            </w:pPr>
            <w:r>
              <w:t xml:space="preserve">В</w:t>
            </w:r>
            <w:r>
              <w:t xml:space="preserve">ыполнение расписания движения автобусов</w:t>
            </w:r>
            <w:r>
              <w:t xml:space="preserve">, мониторинг в системе движения общественного транспорта Краснодарского края</w:t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2395" w:type="dxa"/>
            <w:vAlign w:val="center"/>
            <w:textDirection w:val="lrTb"/>
            <w:noWrap w:val="false"/>
          </w:tcPr>
          <w:p>
            <w:pPr>
              <w:ind w:left="-135" w:right="-93"/>
              <w:jc w:val="center"/>
              <w:rPr>
                <w:highlight w:val="yellow"/>
              </w:rPr>
            </w:pPr>
            <w:r>
              <w:t xml:space="preserve">Управление</w:t>
            </w:r>
            <w:r>
              <w:rPr>
                <w:highlight w:val="yellow"/>
              </w:rPr>
            </w:r>
          </w:p>
        </w:tc>
      </w:tr>
      <w:tr>
        <w:tblPrEx/>
        <w:trPr>
          <w:trHeight w:val="778"/>
        </w:trPr>
        <w:tc>
          <w:tcPr>
            <w:gridSpan w:val="11"/>
            <w:shd w:val="clear" w:color="auto" w:fill="auto"/>
            <w:tcW w:w="14682" w:type="dxa"/>
            <w:vAlign w:val="center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О</w:t>
            </w:r>
            <w:r>
              <w:rPr>
                <w:bCs/>
              </w:rPr>
              <w:t xml:space="preserve">беспечение бесперебойности движения автобусов по утвержденным маршрутам</w:t>
            </w:r>
            <w:r>
              <w:rPr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1</w:t>
            </w:r>
            <w:r/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2</w:t>
            </w:r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3</w:t>
            </w:r>
            <w:r/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4</w:t>
            </w:r>
            <w:r/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5</w:t>
            </w:r>
            <w:r/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6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7</w:t>
            </w:r>
            <w:r/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8</w:t>
            </w:r>
            <w:r/>
          </w:p>
        </w:tc>
        <w:tc>
          <w:tcPr>
            <w:shd w:val="clear" w:color="auto" w:fill="auto"/>
            <w:tcW w:w="2254" w:type="dxa"/>
            <w:vAlign w:val="center"/>
            <w:textDirection w:val="lrTb"/>
            <w:noWrap w:val="false"/>
          </w:tcPr>
          <w:p>
            <w:pPr>
              <w:ind w:left="-135" w:right="-93"/>
              <w:jc w:val="center"/>
            </w:pPr>
            <w:r>
              <w:rPr>
                <w:bCs/>
              </w:rPr>
              <w:t xml:space="preserve">9</w:t>
            </w:r>
            <w:r/>
          </w:p>
        </w:tc>
        <w:tc>
          <w:tcPr>
            <w:shd w:val="clear" w:color="auto" w:fill="auto"/>
            <w:tcW w:w="2395" w:type="dxa"/>
            <w:vAlign w:val="center"/>
            <w:textDirection w:val="lrTb"/>
            <w:noWrap w:val="false"/>
          </w:tcPr>
          <w:p>
            <w:pPr>
              <w:ind w:left="-135" w:right="-93"/>
              <w:jc w:val="center"/>
            </w:pPr>
            <w:r>
              <w:rPr>
                <w:bCs/>
              </w:rPr>
              <w:t xml:space="preserve">10</w:t>
            </w:r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2.5</w:t>
            </w:r>
            <w:r/>
          </w:p>
        </w:tc>
        <w:tc>
          <w:tcPr>
            <w:shd w:val="clear" w:color="auto" w:fill="auto"/>
            <w:tcW w:w="297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Изготовление карт муниципальных автобусных маршрутов регулярного сообщения</w:t>
            </w:r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6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restart"/>
            <w:textDirection w:val="lrTb"/>
            <w:noWrap w:val="false"/>
          </w:tcPr>
          <w:p>
            <w:pPr>
              <w:ind w:left="-135" w:right="-93"/>
              <w:jc w:val="center"/>
            </w:pPr>
            <w:r>
              <w:t xml:space="preserve">Приобретение карт муниципальных автобусных м</w:t>
            </w:r>
            <w:r>
              <w:t xml:space="preserve">аршрутов регулярного сообщения </w:t>
            </w:r>
            <w:r/>
          </w:p>
        </w:tc>
        <w:tc>
          <w:tcPr>
            <w:shd w:val="clear" w:color="auto" w:fill="auto"/>
            <w:tcW w:w="2395" w:type="dxa"/>
            <w:vMerge w:val="restart"/>
            <w:textDirection w:val="lrTb"/>
            <w:noWrap w:val="false"/>
          </w:tcPr>
          <w:p>
            <w:pPr>
              <w:ind w:left="-135" w:right="-93"/>
              <w:jc w:val="center"/>
            </w:pPr>
            <w:r>
              <w:t xml:space="preserve">Администрация</w:t>
            </w:r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7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8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9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>
              <w:t xml:space="preserve">30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ind w:left="-135" w:right="-93"/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2.6</w:t>
            </w:r>
            <w:r/>
          </w:p>
        </w:tc>
        <w:tc>
          <w:tcPr>
            <w:shd w:val="clear" w:color="auto" w:fill="auto"/>
            <w:tcW w:w="297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Изготовление свидетельств на осуществление перевозок по маршруту регулярных перевозок</w:t>
            </w:r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6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restart"/>
            <w:textDirection w:val="lrTb"/>
            <w:noWrap w:val="false"/>
          </w:tcPr>
          <w:p>
            <w:pPr>
              <w:ind w:left="-135" w:right="-93"/>
              <w:jc w:val="center"/>
            </w:pPr>
            <w:r>
              <w:t xml:space="preserve">Приобретение свидетельств на осуществление перевозок по </w:t>
            </w:r>
            <w:r>
              <w:t xml:space="preserve">маршруту </w:t>
            </w:r>
            <w:r>
              <w:t xml:space="preserve">регулярных перевозок </w:t>
            </w:r>
            <w:r/>
          </w:p>
        </w:tc>
        <w:tc>
          <w:tcPr>
            <w:shd w:val="clear" w:color="auto" w:fill="auto"/>
            <w:tcW w:w="2395" w:type="dxa"/>
            <w:vMerge w:val="restart"/>
            <w:textDirection w:val="lrTb"/>
            <w:noWrap w:val="false"/>
          </w:tcPr>
          <w:p>
            <w:pPr>
              <w:ind w:left="-135" w:right="-93"/>
              <w:jc w:val="center"/>
            </w:pPr>
            <w:r>
              <w:t xml:space="preserve">Администрация</w:t>
            </w:r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7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8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202</w:t>
            </w:r>
            <w:r>
              <w:t xml:space="preserve">9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>
              <w:t xml:space="preserve">30</w:t>
            </w:r>
            <w:r/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310"/>
        </w:trPr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94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2.7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2976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Изготовление информационных табличек с расписанием движения автобусов на остановочных пунктах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</w:rPr>
              <w:t xml:space="preserve">6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Cs/>
              </w:rPr>
            </w:pPr>
            <w:r>
              <w:rPr>
                <w:bCs/>
              </w:rPr>
              <w:t xml:space="preserve">80,0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80,0</w:t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Изготовление информационных табличек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395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Администрация</w:t>
            </w:r>
            <w:r>
              <w:rPr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</w:rPr>
              <w:t xml:space="preserve">7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</w:rPr>
              <w:t xml:space="preserve">8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</w:t>
            </w:r>
            <w:r>
              <w:rPr>
                <w:bCs/>
              </w:rPr>
              <w:t xml:space="preserve">9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</w:t>
            </w:r>
            <w:r>
              <w:rPr>
                <w:bCs/>
              </w:rPr>
              <w:t xml:space="preserve">30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left="-96" w:right="-117"/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39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80,0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80,0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2026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33000,0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33000,0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2027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33000,0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33000,0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2028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2029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2030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textDirection w:val="lrTb"/>
            <w:noWrap w:val="false"/>
          </w:tcPr>
          <w:p>
            <w:pPr>
              <w:ind w:left="-96" w:right="-1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95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1188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 по программе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х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33" w:type="dxa"/>
            <w:vAlign w:val="center"/>
            <w:textDirection w:val="lrTb"/>
            <w:noWrap w:val="false"/>
          </w:tcPr>
          <w:p>
            <w:pPr>
              <w:ind w:left="-96" w:right="-11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66000,0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95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0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66000,0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W w:w="1232" w:type="dxa"/>
            <w:textDirection w:val="lrTb"/>
            <w:noWrap w:val="false"/>
          </w:tcPr>
          <w:p>
            <w:pPr>
              <w:jc w:val="center"/>
            </w:pPr>
            <w:r>
              <w:t xml:space="preserve">0</w:t>
            </w:r>
            <w:r/>
          </w:p>
        </w:tc>
        <w:tc>
          <w:tcPr>
            <w:shd w:val="clear" w:color="auto" w:fill="auto"/>
            <w:tcW w:w="2254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2395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pStyle w:val="683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»</w:t>
      </w:r>
      <w:r>
        <w:rPr>
          <w:b/>
          <w:bCs/>
        </w:rPr>
      </w:r>
    </w:p>
    <w:p>
      <w:pPr>
        <w:ind w:right="-284"/>
        <w:rPr>
          <w:sz w:val="28"/>
          <w:szCs w:val="28"/>
        </w:rPr>
      </w:pPr>
      <w:r/>
      <w:bookmarkStart w:id="0" w:name="_GoBack"/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</w:p>
    <w:p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з</w:t>
      </w:r>
      <w:r>
        <w:rPr>
          <w:sz w:val="28"/>
          <w:szCs w:val="28"/>
        </w:rPr>
        <w:t xml:space="preserve">аместител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главы </w:t>
      </w:r>
      <w:r>
        <w:rPr>
          <w:sz w:val="28"/>
          <w:szCs w:val="28"/>
        </w:rPr>
        <w:t xml:space="preserve">Ленинградского</w:t>
      </w:r>
      <w:r>
        <w:rPr>
          <w:sz w:val="28"/>
          <w:szCs w:val="28"/>
        </w:rPr>
      </w:r>
    </w:p>
    <w:p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</w:t>
      </w:r>
      <w:r>
        <w:rPr>
          <w:sz w:val="28"/>
          <w:szCs w:val="28"/>
        </w:rPr>
      </w:r>
    </w:p>
    <w:p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(вопросы строительства, улично-дорожной </w:t>
      </w:r>
      <w:r>
        <w:rPr>
          <w:sz w:val="28"/>
          <w:szCs w:val="28"/>
        </w:rPr>
      </w:r>
    </w:p>
    <w:p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сети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административной </w:t>
      </w:r>
      <w:r>
        <w:rPr>
          <w:sz w:val="28"/>
          <w:szCs w:val="28"/>
        </w:rPr>
        <w:t xml:space="preserve">комиссии)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С.Н. Шмаровоз</w:t>
      </w:r>
      <w:r>
        <w:rPr>
          <w:sz w:val="28"/>
          <w:szCs w:val="28"/>
        </w:rPr>
        <w:t xml:space="preserve"> </w:t>
      </w:r>
      <w:bookmarkEnd w:id="0"/>
      <w:r/>
      <w:r>
        <w:rPr>
          <w:sz w:val="28"/>
          <w:szCs w:val="28"/>
        </w:rPr>
      </w:r>
    </w:p>
    <w:p>
      <w:pPr>
        <w:ind w:right="-284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83"/>
        <w:ind w:firstLine="0"/>
        <w:rPr>
          <w:bCs/>
        </w:rPr>
      </w:pPr>
      <w:r>
        <w:rPr>
          <w:bCs/>
        </w:rPr>
      </w:r>
      <w:r>
        <w:rPr>
          <w:bCs/>
        </w:rPr>
      </w:r>
    </w:p>
    <w:sectPr>
      <w:headerReference w:type="default" r:id="rId9"/>
      <w:footnotePr/>
      <w:endnotePr/>
      <w:type w:val="nextPage"/>
      <w:pgSz w:w="16838" w:h="11906" w:orient="landscape"/>
      <w:pgMar w:top="1701" w:right="1021" w:bottom="567" w:left="1247" w:header="709" w:footer="567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03228563"/>
      <w:docPartObj>
        <w:docPartGallery w:val="Page Numbers (Top of Page)"/>
        <w:docPartUnique w:val="true"/>
      </w:docPartObj>
      <w:rPr/>
    </w:sdtPr>
    <w:sdtContent>
      <w:p>
        <w:pPr>
          <w:pStyle w:val="69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</w:t>
        </w:r>
        <w:r>
          <w:fldChar w:fldCharType="end"/>
        </w:r>
        <w:r/>
      </w:p>
    </w:sdtContent>
  </w:sdt>
  <w:p>
    <w:pPr>
      <w:pStyle w:val="6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9"/>
    <w:next w:val="6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9"/>
    <w:next w:val="6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9"/>
    <w:next w:val="6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9"/>
    <w:next w:val="6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9"/>
    <w:next w:val="6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9"/>
    <w:next w:val="6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9"/>
    <w:next w:val="6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9"/>
    <w:next w:val="6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9"/>
    <w:next w:val="6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9"/>
    <w:next w:val="6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0"/>
    <w:link w:val="34"/>
    <w:uiPriority w:val="10"/>
    <w:rPr>
      <w:sz w:val="48"/>
      <w:szCs w:val="48"/>
    </w:rPr>
  </w:style>
  <w:style w:type="paragraph" w:styleId="36">
    <w:name w:val="Subtitle"/>
    <w:basedOn w:val="679"/>
    <w:next w:val="6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0"/>
    <w:link w:val="36"/>
    <w:uiPriority w:val="11"/>
    <w:rPr>
      <w:sz w:val="24"/>
      <w:szCs w:val="24"/>
    </w:rPr>
  </w:style>
  <w:style w:type="paragraph" w:styleId="38">
    <w:name w:val="Quote"/>
    <w:basedOn w:val="679"/>
    <w:next w:val="6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9"/>
    <w:next w:val="6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80"/>
    <w:link w:val="690"/>
    <w:uiPriority w:val="99"/>
  </w:style>
  <w:style w:type="character" w:styleId="45">
    <w:name w:val="Footer Char"/>
    <w:basedOn w:val="680"/>
    <w:link w:val="692"/>
    <w:uiPriority w:val="99"/>
  </w:style>
  <w:style w:type="paragraph" w:styleId="46">
    <w:name w:val="Caption"/>
    <w:basedOn w:val="679"/>
    <w:next w:val="6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92"/>
    <w:uiPriority w:val="99"/>
  </w:style>
  <w:style w:type="table" w:styleId="48">
    <w:name w:val="Table Grid"/>
    <w:basedOn w:val="6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80"/>
    <w:uiPriority w:val="99"/>
    <w:unhideWhenUsed/>
    <w:rPr>
      <w:vertAlign w:val="superscript"/>
    </w:rPr>
  </w:style>
  <w:style w:type="paragraph" w:styleId="178">
    <w:name w:val="endnote text"/>
    <w:basedOn w:val="6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0"/>
    <w:uiPriority w:val="99"/>
    <w:semiHidden/>
    <w:unhideWhenUsed/>
    <w:rPr>
      <w:vertAlign w:val="superscript"/>
    </w:rPr>
  </w:style>
  <w:style w:type="paragraph" w:styleId="181">
    <w:name w:val="toc 1"/>
    <w:basedOn w:val="679"/>
    <w:next w:val="67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9"/>
    <w:next w:val="67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9"/>
    <w:next w:val="67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9"/>
    <w:next w:val="67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9"/>
    <w:next w:val="67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9"/>
    <w:next w:val="67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9"/>
    <w:next w:val="67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9"/>
    <w:next w:val="67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9"/>
    <w:next w:val="67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9"/>
    <w:next w:val="679"/>
    <w:uiPriority w:val="99"/>
    <w:unhideWhenUsed/>
    <w:pPr>
      <w:spacing w:after="0" w:afterAutospacing="0"/>
    </w:pPr>
  </w:style>
  <w:style w:type="paragraph" w:styleId="67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>
    <w:name w:val="Body Text Indent"/>
    <w:basedOn w:val="679"/>
    <w:link w:val="684"/>
    <w:pPr>
      <w:ind w:firstLine="900"/>
      <w:jc w:val="both"/>
    </w:pPr>
    <w:rPr>
      <w:sz w:val="28"/>
      <w:szCs w:val="28"/>
    </w:rPr>
  </w:style>
  <w:style w:type="character" w:styleId="684" w:customStyle="1">
    <w:name w:val="Основной текст с отступом Знак"/>
    <w:basedOn w:val="680"/>
    <w:link w:val="683"/>
    <w:rPr>
      <w:rFonts w:ascii="Times New Roman" w:hAnsi="Times New Roman" w:eastAsia="Times New Roman" w:cs="Times New Roman"/>
      <w:sz w:val="28"/>
      <w:szCs w:val="28"/>
      <w:lang w:eastAsia="zh-CN"/>
    </w:rPr>
  </w:style>
  <w:style w:type="paragraph" w:styleId="685" w:customStyle="1">
    <w:name w:val="Нормальный (таблица)"/>
    <w:basedOn w:val="679"/>
    <w:next w:val="679"/>
    <w:uiPriority w:val="99"/>
    <w:pPr>
      <w:jc w:val="both"/>
    </w:pPr>
  </w:style>
  <w:style w:type="paragraph" w:styleId="686">
    <w:name w:val="Body Text"/>
    <w:basedOn w:val="679"/>
    <w:link w:val="687"/>
    <w:uiPriority w:val="99"/>
    <w:unhideWhenUsed/>
    <w:pPr>
      <w:spacing w:after="120"/>
    </w:pPr>
  </w:style>
  <w:style w:type="character" w:styleId="687" w:customStyle="1">
    <w:name w:val="Основной текст Знак"/>
    <w:basedOn w:val="680"/>
    <w:link w:val="686"/>
    <w:uiPriority w:val="99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688">
    <w:name w:val="Balloon Text"/>
    <w:basedOn w:val="679"/>
    <w:link w:val="68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89" w:customStyle="1">
    <w:name w:val="Текст выноски Знак"/>
    <w:basedOn w:val="680"/>
    <w:link w:val="688"/>
    <w:uiPriority w:val="99"/>
    <w:semiHidden/>
    <w:rPr>
      <w:rFonts w:ascii="Segoe UI" w:hAnsi="Segoe UI" w:eastAsia="Times New Roman" w:cs="Segoe UI"/>
      <w:sz w:val="18"/>
      <w:szCs w:val="18"/>
      <w:lang w:eastAsia="zh-CN"/>
    </w:rPr>
  </w:style>
  <w:style w:type="paragraph" w:styleId="690">
    <w:name w:val="Header"/>
    <w:basedOn w:val="679"/>
    <w:link w:val="69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91" w:customStyle="1">
    <w:name w:val="Верхний колонтитул Знак"/>
    <w:basedOn w:val="680"/>
    <w:link w:val="690"/>
    <w:uiPriority w:val="99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692">
    <w:name w:val="Footer"/>
    <w:basedOn w:val="679"/>
    <w:link w:val="6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93" w:customStyle="1">
    <w:name w:val="Нижний колонтитул Знак"/>
    <w:basedOn w:val="680"/>
    <w:link w:val="692"/>
    <w:uiPriority w:val="99"/>
    <w:rPr>
      <w:rFonts w:ascii="Times New Roman" w:hAnsi="Times New Roman" w:eastAsia="Times New Roman" w:cs="Times New Roman"/>
      <w:sz w:val="24"/>
      <w:szCs w:val="24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F962F-B5C9-4413-82EB-DC47B701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Вильчинская А.К.</dc:creator>
  <cp:keywords/>
  <dc:description/>
  <cp:revision>37</cp:revision>
  <dcterms:created xsi:type="dcterms:W3CDTF">2025-09-15T05:36:00Z</dcterms:created>
  <dcterms:modified xsi:type="dcterms:W3CDTF">2026-06-15T08:53:43Z</dcterms:modified>
</cp:coreProperties>
</file>